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15" w:type="dxa"/>
        <w:tblBorders>
          <w:top w:val="outset" w:sz="6" w:space="0" w:color="000000"/>
          <w:left w:val="outset" w:sz="6" w:space="0" w:color="000000"/>
          <w:bottom w:val="outset" w:sz="6" w:space="0" w:color="000000"/>
          <w:right w:val="outset" w:sz="6" w:space="0" w:color="000000"/>
        </w:tblBorders>
        <w:shd w:val="clear" w:color="auto" w:fill="A41E1C"/>
        <w:tblCellMar>
          <w:top w:w="15" w:type="dxa"/>
          <w:left w:w="15" w:type="dxa"/>
          <w:bottom w:w="15" w:type="dxa"/>
          <w:right w:w="15" w:type="dxa"/>
        </w:tblCellMar>
        <w:tblLook w:val="04A0" w:firstRow="1" w:lastRow="0" w:firstColumn="1" w:lastColumn="0" w:noHBand="0" w:noVBand="1"/>
      </w:tblPr>
      <w:tblGrid>
        <w:gridCol w:w="9344"/>
      </w:tblGrid>
      <w:tr w:rsidR="002E06F3" w:rsidRPr="002E06F3" w:rsidTr="002E06F3">
        <w:trPr>
          <w:tblCellSpacing w:w="15" w:type="dxa"/>
        </w:trPr>
        <w:tc>
          <w:tcPr>
            <w:tcW w:w="0" w:type="auto"/>
            <w:shd w:val="clear" w:color="auto" w:fill="A41E1C"/>
            <w:vAlign w:val="center"/>
            <w:hideMark/>
          </w:tcPr>
          <w:p w:rsidR="002E06F3" w:rsidRPr="002E06F3" w:rsidRDefault="002E06F3" w:rsidP="002E06F3">
            <w:pPr>
              <w:spacing w:after="0" w:line="384" w:lineRule="auto"/>
              <w:ind w:right="975"/>
              <w:jc w:val="center"/>
              <w:outlineLvl w:val="5"/>
              <w:rPr>
                <w:rFonts w:ascii="Arial" w:eastAsia="Times New Roman" w:hAnsi="Arial" w:cs="Arial"/>
                <w:b/>
                <w:bCs/>
                <w:color w:val="FFE8BF"/>
                <w:sz w:val="36"/>
                <w:szCs w:val="36"/>
              </w:rPr>
            </w:pPr>
            <w:r w:rsidRPr="002E06F3">
              <w:rPr>
                <w:rFonts w:ascii="Arial" w:eastAsia="Times New Roman" w:hAnsi="Arial" w:cs="Arial"/>
                <w:b/>
                <w:bCs/>
                <w:color w:val="FFE8BF"/>
                <w:sz w:val="36"/>
                <w:szCs w:val="36"/>
              </w:rPr>
              <w:t>REŠENJE</w:t>
            </w:r>
          </w:p>
          <w:p w:rsidR="002E06F3" w:rsidRPr="002E06F3" w:rsidRDefault="002E06F3" w:rsidP="002E06F3">
            <w:pPr>
              <w:spacing w:after="0" w:line="240" w:lineRule="auto"/>
              <w:ind w:right="975"/>
              <w:jc w:val="center"/>
              <w:outlineLvl w:val="5"/>
              <w:rPr>
                <w:rFonts w:ascii="Arial" w:eastAsia="Times New Roman" w:hAnsi="Arial" w:cs="Arial"/>
                <w:b/>
                <w:bCs/>
                <w:color w:val="FFFFFF"/>
                <w:sz w:val="34"/>
                <w:szCs w:val="34"/>
              </w:rPr>
            </w:pPr>
            <w:r w:rsidRPr="002E06F3">
              <w:rPr>
                <w:rFonts w:ascii="Arial" w:eastAsia="Times New Roman" w:hAnsi="Arial" w:cs="Arial"/>
                <w:b/>
                <w:bCs/>
                <w:color w:val="FFFFFF"/>
                <w:sz w:val="34"/>
                <w:szCs w:val="34"/>
              </w:rPr>
              <w:t>O DAVANJU SAGLASNOSTI JKP "BEOGRADSKE ELEKTRANE" NA ODLUKU O VISINI TROŠKOVA PRIKLJUČKA NA SISTEM DALJINSKOG GREJANJA SA ODLUKOM</w:t>
            </w:r>
          </w:p>
          <w:p w:rsidR="002E06F3" w:rsidRPr="002E06F3" w:rsidRDefault="002E06F3" w:rsidP="002E06F3">
            <w:pPr>
              <w:shd w:val="clear" w:color="auto" w:fill="000000"/>
              <w:spacing w:before="100" w:beforeAutospacing="1" w:after="100" w:afterAutospacing="1" w:line="264" w:lineRule="auto"/>
              <w:jc w:val="center"/>
              <w:rPr>
                <w:rFonts w:ascii="Arial" w:eastAsia="Times New Roman" w:hAnsi="Arial" w:cs="Arial"/>
                <w:i/>
                <w:iCs/>
                <w:color w:val="FFE8BF"/>
                <w:sz w:val="26"/>
                <w:szCs w:val="26"/>
              </w:rPr>
            </w:pPr>
            <w:r w:rsidRPr="002E06F3">
              <w:rPr>
                <w:rFonts w:ascii="Arial" w:eastAsia="Times New Roman" w:hAnsi="Arial" w:cs="Arial"/>
                <w:i/>
                <w:iCs/>
                <w:color w:val="FFE8BF"/>
                <w:sz w:val="26"/>
                <w:szCs w:val="26"/>
              </w:rPr>
              <w:t>("Sl. list grada Beograda", br. 67/2026)</w:t>
            </w:r>
          </w:p>
        </w:tc>
      </w:tr>
    </w:tbl>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t xml:space="preserve">I - Daje se saglasnost na Odluku o visini troškova priključka na sistem daljinskog grejanja, koju je doneo Nadzorni odbor Javnog komunalnog preduzeća "Beogradske elektrane" pod brojem NO-21726/26-03, na sednici održanoj 28. aprila 2026. godine. </w:t>
      </w:r>
    </w:p>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t xml:space="preserve">II - Rešenje i odluku objaviti u "Službenom listu Grada Beograda" po dobijanju saglasnosti osnivača, a odluka stupa na snagu osmog dana od dana objavljivanja. </w:t>
      </w:r>
    </w:p>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 * * </w:t>
      </w:r>
    </w:p>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t xml:space="preserve">Na osnovu člana 22. Zakona o javnim preduzećima ("Službeni glasnik RS", br. 15/16, 88/19), člana 34. Statuta JKP "Beogradske elektrane" ("Službeni list Grada Beograda", br. 64/16, 100/17, 93/20 i 11/25), u skladu sa Metodologijom za utvrđivanje troškova priključka na sistem daljinskog grejanja (Gradska uprava Grada Beograda, Sekretarijat za komunalne i stambene poslove - Uprava za energetiku, III-05 broj 312-233/14 od 7. aprila 2014. godine) i Izmenama i dopunama Metodologije za utvrđivanje troškova priključka na sistem daljinskog grejanja (Gradska uprava Grada Beograda, Sekretarijat za energetiku, XVI-01 broj 110-1/2018. od 12. oktobra 2018. godine i XVI-01 broj 110-1/2024. od 6. marta 2024. godine), Nadzorni odbor JKP "Beogradske elektrane", na sednici održanoj 28. aprila 2026. godine, doneo je </w:t>
      </w:r>
    </w:p>
    <w:p w:rsidR="002E06F3" w:rsidRPr="002E06F3" w:rsidRDefault="002E06F3" w:rsidP="002E06F3">
      <w:pPr>
        <w:spacing w:after="0" w:line="240" w:lineRule="auto"/>
        <w:jc w:val="center"/>
        <w:rPr>
          <w:rFonts w:ascii="Arial" w:eastAsia="Times New Roman" w:hAnsi="Arial" w:cs="Arial"/>
          <w:b/>
          <w:bCs/>
          <w:sz w:val="31"/>
          <w:szCs w:val="31"/>
        </w:rPr>
      </w:pPr>
      <w:bookmarkStart w:id="0" w:name="str_1"/>
      <w:bookmarkEnd w:id="0"/>
      <w:r w:rsidRPr="002E06F3">
        <w:rPr>
          <w:rFonts w:ascii="Arial" w:eastAsia="Times New Roman" w:hAnsi="Arial" w:cs="Arial"/>
          <w:b/>
          <w:bCs/>
          <w:sz w:val="31"/>
          <w:szCs w:val="31"/>
        </w:rPr>
        <w:t>ODLUKU</w:t>
      </w:r>
      <w:r w:rsidRPr="002E06F3">
        <w:rPr>
          <w:rFonts w:ascii="Arial" w:eastAsia="Times New Roman" w:hAnsi="Arial" w:cs="Arial"/>
          <w:b/>
          <w:bCs/>
          <w:sz w:val="31"/>
          <w:szCs w:val="31"/>
        </w:rPr>
        <w:br/>
        <w:t xml:space="preserve">O VISINI TROŠKOVA PRIKLJUČKA NA SISTEM DALJINSKOG GREJANJA </w:t>
      </w:r>
    </w:p>
    <w:p w:rsidR="002E06F3" w:rsidRPr="002E06F3" w:rsidRDefault="002E06F3" w:rsidP="002E06F3">
      <w:pPr>
        <w:spacing w:after="0" w:line="240" w:lineRule="auto"/>
        <w:rPr>
          <w:rFonts w:ascii="Arial" w:eastAsia="Times New Roman" w:hAnsi="Arial" w:cs="Arial"/>
          <w:sz w:val="26"/>
          <w:szCs w:val="26"/>
        </w:rPr>
      </w:pPr>
      <w:r w:rsidRPr="002E06F3">
        <w:rPr>
          <w:rFonts w:ascii="Arial" w:eastAsia="Times New Roman" w:hAnsi="Arial" w:cs="Arial"/>
          <w:sz w:val="26"/>
          <w:szCs w:val="26"/>
        </w:rPr>
        <w:t> </w:t>
      </w:r>
    </w:p>
    <w:p w:rsidR="002E06F3" w:rsidRPr="002E06F3" w:rsidRDefault="002E06F3" w:rsidP="002E06F3">
      <w:pPr>
        <w:spacing w:after="0" w:line="240" w:lineRule="auto"/>
        <w:jc w:val="center"/>
        <w:rPr>
          <w:rFonts w:ascii="Arial" w:eastAsia="Times New Roman" w:hAnsi="Arial" w:cs="Arial"/>
          <w:sz w:val="31"/>
          <w:szCs w:val="31"/>
        </w:rPr>
      </w:pPr>
      <w:bookmarkStart w:id="1" w:name="str_2"/>
      <w:bookmarkEnd w:id="1"/>
      <w:r w:rsidRPr="002E06F3">
        <w:rPr>
          <w:rFonts w:ascii="Arial" w:eastAsia="Times New Roman" w:hAnsi="Arial" w:cs="Arial"/>
          <w:sz w:val="31"/>
          <w:szCs w:val="31"/>
        </w:rPr>
        <w:t xml:space="preserve">I. PREDMET ODLUKE </w:t>
      </w:r>
    </w:p>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t xml:space="preserve">Ovom odlukom JKP "Beogradske elektrane", kao energetski subjekt za proizvodnju, distribuciju i snabdevanje toplotnom energijom utvrđuje normative za obračun troškova priključka i jedinične troškove za određivanje dela troškova sistema nastalih zbog priključenja na daljinski sistem grejanja i visinu troškova za svaku kategoriju priključka. </w:t>
      </w:r>
    </w:p>
    <w:p w:rsidR="002E06F3" w:rsidRPr="002E06F3" w:rsidRDefault="002E06F3" w:rsidP="002E06F3">
      <w:pPr>
        <w:spacing w:after="0" w:line="240" w:lineRule="auto"/>
        <w:jc w:val="center"/>
        <w:rPr>
          <w:rFonts w:ascii="Arial" w:eastAsia="Times New Roman" w:hAnsi="Arial" w:cs="Arial"/>
          <w:sz w:val="31"/>
          <w:szCs w:val="31"/>
        </w:rPr>
      </w:pPr>
      <w:bookmarkStart w:id="2" w:name="str_3"/>
      <w:bookmarkEnd w:id="2"/>
      <w:r w:rsidRPr="002E06F3">
        <w:rPr>
          <w:rFonts w:ascii="Arial" w:eastAsia="Times New Roman" w:hAnsi="Arial" w:cs="Arial"/>
          <w:sz w:val="31"/>
          <w:szCs w:val="31"/>
        </w:rPr>
        <w:t xml:space="preserve">II. KRITERIJUMI ZA ODREĐIVANJE TROŠKOVA PRIKLJUČKA I STRUKTURA TROŠKOVA PRIKLJUČKA </w:t>
      </w:r>
    </w:p>
    <w:p w:rsidR="002E06F3" w:rsidRPr="002E06F3" w:rsidRDefault="002E06F3" w:rsidP="002E06F3">
      <w:pPr>
        <w:spacing w:before="240" w:after="240" w:line="240" w:lineRule="auto"/>
        <w:jc w:val="center"/>
        <w:rPr>
          <w:rFonts w:ascii="Arial" w:eastAsia="Times New Roman" w:hAnsi="Arial" w:cs="Arial"/>
          <w:b/>
          <w:bCs/>
          <w:i/>
          <w:iCs/>
          <w:sz w:val="24"/>
          <w:szCs w:val="24"/>
        </w:rPr>
      </w:pPr>
      <w:bookmarkStart w:id="3" w:name="str_4"/>
      <w:bookmarkEnd w:id="3"/>
      <w:r w:rsidRPr="002E06F3">
        <w:rPr>
          <w:rFonts w:ascii="Arial" w:eastAsia="Times New Roman" w:hAnsi="Arial" w:cs="Arial"/>
          <w:b/>
          <w:bCs/>
          <w:i/>
          <w:iCs/>
          <w:sz w:val="24"/>
          <w:szCs w:val="24"/>
        </w:rPr>
        <w:t xml:space="preserve">II.1 Kriterijumi za određivanje troškova priključka </w:t>
      </w:r>
    </w:p>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lastRenderedPageBreak/>
        <w:t xml:space="preserve">Kriterijumi za određivanje troškova priključka na sistem daljinskog grejanja su: odobreni kapacitet iz rešenja kojim se odobrava priključenje, mesto priključka, vrsta uređaja, opreme i materijala koje je potrebno ugraditi definisanih tehničkim uslovima prema prečniku (DN) priključka i toplotne podstanice, vrste radova koje je potrebno izvesti, troškovi izrade i pribavljanja dokumentacije kao i stvaranje drugih uslova za priključenje. </w:t>
      </w:r>
    </w:p>
    <w:p w:rsidR="002E06F3" w:rsidRPr="002E06F3" w:rsidRDefault="002E06F3" w:rsidP="002E06F3">
      <w:pPr>
        <w:spacing w:before="240" w:after="240" w:line="240" w:lineRule="auto"/>
        <w:jc w:val="center"/>
        <w:rPr>
          <w:rFonts w:ascii="Arial" w:eastAsia="Times New Roman" w:hAnsi="Arial" w:cs="Arial"/>
          <w:b/>
          <w:bCs/>
          <w:i/>
          <w:iCs/>
          <w:sz w:val="24"/>
          <w:szCs w:val="24"/>
        </w:rPr>
      </w:pPr>
      <w:bookmarkStart w:id="4" w:name="str_5"/>
      <w:bookmarkEnd w:id="4"/>
      <w:r w:rsidRPr="002E06F3">
        <w:rPr>
          <w:rFonts w:ascii="Arial" w:eastAsia="Times New Roman" w:hAnsi="Arial" w:cs="Arial"/>
          <w:b/>
          <w:bCs/>
          <w:i/>
          <w:iCs/>
          <w:sz w:val="24"/>
          <w:szCs w:val="24"/>
        </w:rPr>
        <w:t xml:space="preserve">II.2 Struktura troškova priključka </w:t>
      </w:r>
    </w:p>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t xml:space="preserve">Troškovi priključka obuhvataju: </w:t>
      </w:r>
    </w:p>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t xml:space="preserve">II.2.1 Deo troškova sistema nastalih kao preduslov za priključenje objekta na distributivnu mrežu, koja je povezana na toplovodni izvor, a u zavisnosti od njegovog odobrenog kapaciteta (DTS), deli se na: </w:t>
      </w:r>
    </w:p>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t xml:space="preserve">II.2.1.1 Troškove toplotnog izvora; </w:t>
      </w:r>
    </w:p>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t xml:space="preserve">II.2.1.2 Troškove distributivne mreže. </w:t>
      </w:r>
    </w:p>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t xml:space="preserve">II.2.2 Troškovi izgradnje toplovodnog priključka (TP), sastoje se od: </w:t>
      </w:r>
    </w:p>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t xml:space="preserve">II.2.2.1 Troškova projektovanja, pribavljanja potrebne dokumentacije i odgovarajućih dozvola (TP1); </w:t>
      </w:r>
    </w:p>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t xml:space="preserve">II.2.2.2 Troškova nabavke opreme, uređaja i materijala i troškova radova (TP2); </w:t>
      </w:r>
    </w:p>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t xml:space="preserve">II.2.2.3 Troškova stručnih i operativnih poslova (TP3). </w:t>
      </w:r>
    </w:p>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t xml:space="preserve">II.2.3 Troškovi nabavke i ugradnje predajnih stanica (TP4), sastoje se od: </w:t>
      </w:r>
    </w:p>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t xml:space="preserve">II.2.3.1 Troškova za grejanje (TPG4); </w:t>
      </w:r>
    </w:p>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t xml:space="preserve">II.2.3.2 Troškova za potrošnu toplu vodu (TPPTV4). </w:t>
      </w:r>
    </w:p>
    <w:p w:rsidR="002E06F3" w:rsidRPr="002E06F3" w:rsidRDefault="002E06F3" w:rsidP="002E06F3">
      <w:pPr>
        <w:spacing w:after="0" w:line="240" w:lineRule="auto"/>
        <w:jc w:val="center"/>
        <w:rPr>
          <w:rFonts w:ascii="Arial" w:eastAsia="Times New Roman" w:hAnsi="Arial" w:cs="Arial"/>
          <w:sz w:val="31"/>
          <w:szCs w:val="31"/>
        </w:rPr>
      </w:pPr>
      <w:bookmarkStart w:id="5" w:name="str_6"/>
      <w:bookmarkEnd w:id="5"/>
      <w:r w:rsidRPr="002E06F3">
        <w:rPr>
          <w:rFonts w:ascii="Arial" w:eastAsia="Times New Roman" w:hAnsi="Arial" w:cs="Arial"/>
          <w:sz w:val="31"/>
          <w:szCs w:val="31"/>
        </w:rPr>
        <w:t xml:space="preserve">III. NAČIN OBRAČUNA TROŠKOVA PRIKLJUČKA </w:t>
      </w:r>
    </w:p>
    <w:p w:rsidR="002E06F3" w:rsidRPr="002E06F3" w:rsidRDefault="002E06F3" w:rsidP="002E06F3">
      <w:pPr>
        <w:spacing w:before="240" w:after="240" w:line="240" w:lineRule="auto"/>
        <w:jc w:val="center"/>
        <w:rPr>
          <w:rFonts w:ascii="Arial" w:eastAsia="Times New Roman" w:hAnsi="Arial" w:cs="Arial"/>
          <w:b/>
          <w:bCs/>
          <w:i/>
          <w:iCs/>
          <w:sz w:val="24"/>
          <w:szCs w:val="24"/>
        </w:rPr>
      </w:pPr>
      <w:bookmarkStart w:id="6" w:name="str_7"/>
      <w:bookmarkEnd w:id="6"/>
      <w:r w:rsidRPr="002E06F3">
        <w:rPr>
          <w:rFonts w:ascii="Arial" w:eastAsia="Times New Roman" w:hAnsi="Arial" w:cs="Arial"/>
          <w:b/>
          <w:bCs/>
          <w:i/>
          <w:iCs/>
          <w:sz w:val="24"/>
          <w:szCs w:val="24"/>
        </w:rPr>
        <w:t>III.1 Ukupni troškovi priključka (UTP)</w:t>
      </w:r>
    </w:p>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t xml:space="preserve">Ukupni troškovi priključka sastoje se iz troškova gradnje toplovodnog priključka, troškova nabavke i ugradnje predajne stanice i dela troškova sistema, a obračunavaju se primenom sledeće formule: </w:t>
      </w:r>
    </w:p>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t>UTP - (TP/</w:t>
      </w:r>
      <w:proofErr w:type="gramStart"/>
      <w:r w:rsidRPr="002E06F3">
        <w:rPr>
          <w:rFonts w:ascii="Arial" w:eastAsia="Times New Roman" w:hAnsi="Arial" w:cs="Arial"/>
        </w:rPr>
        <w:t>30)*</w:t>
      </w:r>
      <w:proofErr w:type="gramEnd"/>
      <w:r w:rsidRPr="002E06F3">
        <w:rPr>
          <w:rFonts w:ascii="Arial" w:eastAsia="Times New Roman" w:hAnsi="Arial" w:cs="Arial"/>
        </w:rPr>
        <w:t xml:space="preserve">SU+TP4+DTS </w:t>
      </w:r>
    </w:p>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t xml:space="preserve">UTP - ukupni troškovi priključka, </w:t>
      </w:r>
    </w:p>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t xml:space="preserve">TP/30 - jedinični troškovi izgradnje priključka po dužnom metru trase, </w:t>
      </w:r>
    </w:p>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t xml:space="preserve">TP - troškovi izgradnje tipskog priključka, </w:t>
      </w:r>
    </w:p>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lastRenderedPageBreak/>
        <w:t xml:space="preserve">SU - stvarna udaljenost objekta od mesta priključenja prema trasi priključenja, </w:t>
      </w:r>
    </w:p>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t xml:space="preserve">TP4 - troškovi nabavke i ugradnje predajnih stanica i eventualno izmenjivača toplote, </w:t>
      </w:r>
    </w:p>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t xml:space="preserve">DTS - deo troškova sistema. </w:t>
      </w:r>
    </w:p>
    <w:p w:rsidR="002E06F3" w:rsidRPr="002E06F3" w:rsidRDefault="002E06F3" w:rsidP="002E06F3">
      <w:pPr>
        <w:spacing w:before="240" w:after="240" w:line="240" w:lineRule="auto"/>
        <w:jc w:val="center"/>
        <w:rPr>
          <w:rFonts w:ascii="Arial" w:eastAsia="Times New Roman" w:hAnsi="Arial" w:cs="Arial"/>
          <w:b/>
          <w:bCs/>
          <w:sz w:val="24"/>
          <w:szCs w:val="24"/>
        </w:rPr>
      </w:pPr>
      <w:bookmarkStart w:id="7" w:name="str_8"/>
      <w:bookmarkEnd w:id="7"/>
      <w:r w:rsidRPr="002E06F3">
        <w:rPr>
          <w:rFonts w:ascii="Arial" w:eastAsia="Times New Roman" w:hAnsi="Arial" w:cs="Arial"/>
          <w:b/>
          <w:bCs/>
          <w:sz w:val="24"/>
          <w:szCs w:val="24"/>
        </w:rPr>
        <w:t xml:space="preserve">III.1.1 Jedinični troškovi izgradnje priključka (TP/30) </w:t>
      </w:r>
    </w:p>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t xml:space="preserve">Jedinični troškovi predstavljaju stvarne troškove izračunate za dužinu priključka koji se potom dele sa 30, čime se dobija cena po jednom dužnom metru trase priključka. </w:t>
      </w:r>
    </w:p>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t xml:space="preserve">Za Tsp = -18°C: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30" w:type="dxa"/>
          <w:left w:w="30" w:type="dxa"/>
          <w:bottom w:w="30" w:type="dxa"/>
          <w:right w:w="30" w:type="dxa"/>
        </w:tblCellMar>
        <w:tblLook w:val="04A0" w:firstRow="1" w:lastRow="0" w:firstColumn="1" w:lastColumn="0" w:noHBand="0" w:noVBand="1"/>
      </w:tblPr>
      <w:tblGrid>
        <w:gridCol w:w="792"/>
        <w:gridCol w:w="726"/>
        <w:gridCol w:w="1007"/>
        <w:gridCol w:w="1119"/>
        <w:gridCol w:w="1282"/>
        <w:gridCol w:w="2382"/>
        <w:gridCol w:w="2036"/>
      </w:tblGrid>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Redni broj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Q(kW)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DN</w:t>
            </w:r>
            <w:r w:rsidRPr="002E06F3">
              <w:rPr>
                <w:rFonts w:ascii="Arial" w:eastAsia="Times New Roman" w:hAnsi="Arial" w:cs="Arial"/>
              </w:rPr>
              <w:br/>
              <w:t xml:space="preserve">priključka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Ø priključka</w:t>
            </w:r>
            <w:r w:rsidRPr="002E06F3">
              <w:rPr>
                <w:rFonts w:ascii="Arial" w:eastAsia="Times New Roman" w:hAnsi="Arial" w:cs="Arial"/>
              </w:rPr>
              <w:br/>
              <w:t xml:space="preserve">(mm)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DN predajne stanice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Kategorija toplovodnog priključka predajne stanice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Jedinični troškovi izgradnje priključka TP/30</w:t>
            </w:r>
            <w:r w:rsidRPr="002E06F3">
              <w:rPr>
                <w:rFonts w:ascii="Arial" w:eastAsia="Times New Roman" w:hAnsi="Arial" w:cs="Arial"/>
              </w:rPr>
              <w:br/>
              <w:t xml:space="preserve">(RSD/m`)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7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25(40)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48,3/110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25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59.511,80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70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25(40)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48,3/110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25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after="0" w:line="240" w:lineRule="auto"/>
              <w:rPr>
                <w:rFonts w:ascii="Arial" w:eastAsia="Times New Roman" w:hAnsi="Arial" w:cs="Arial"/>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59.511,80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32(40)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48,3/110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25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after="0" w:line="240" w:lineRule="auto"/>
              <w:rPr>
                <w:rFonts w:ascii="Arial" w:eastAsia="Times New Roman" w:hAnsi="Arial" w:cs="Arial"/>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59.511,80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150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40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48,3/110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32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59.511,80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200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60,3/125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32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63.540,51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250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60,3/125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40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63.540,51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7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300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60,3/125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40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after="0" w:line="240" w:lineRule="auto"/>
              <w:rPr>
                <w:rFonts w:ascii="Arial" w:eastAsia="Times New Roman" w:hAnsi="Arial" w:cs="Arial"/>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63.540,51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8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350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60,3/125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50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63.540,51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9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400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60,3/125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50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after="0" w:line="240" w:lineRule="auto"/>
              <w:rPr>
                <w:rFonts w:ascii="Arial" w:eastAsia="Times New Roman" w:hAnsi="Arial" w:cs="Arial"/>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63.540,51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450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60,3/125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50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after="0" w:line="240" w:lineRule="auto"/>
              <w:rPr>
                <w:rFonts w:ascii="Arial" w:eastAsia="Times New Roman" w:hAnsi="Arial" w:cs="Arial"/>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63.540,51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11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65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76,1/140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69.905,47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12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65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76,1/140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65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7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69.905,47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13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700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65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76,1/140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65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after="0" w:line="240" w:lineRule="auto"/>
              <w:rPr>
                <w:rFonts w:ascii="Arial" w:eastAsia="Times New Roman" w:hAnsi="Arial" w:cs="Arial"/>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69.905,47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14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800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65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76,1/140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65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after="0" w:line="240" w:lineRule="auto"/>
              <w:rPr>
                <w:rFonts w:ascii="Arial" w:eastAsia="Times New Roman" w:hAnsi="Arial" w:cs="Arial"/>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69.905,47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15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900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80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88,9/160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80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8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77.504,83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16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1000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80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88,9/160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80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after="0" w:line="240" w:lineRule="auto"/>
              <w:rPr>
                <w:rFonts w:ascii="Arial" w:eastAsia="Times New Roman" w:hAnsi="Arial" w:cs="Arial"/>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77.504,83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17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1500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114,3/200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9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94.398,25 </w:t>
            </w:r>
          </w:p>
        </w:tc>
      </w:tr>
    </w:tbl>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t xml:space="preserve">Za Tsp = 12,1°C: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30" w:type="dxa"/>
          <w:left w:w="30" w:type="dxa"/>
          <w:bottom w:w="30" w:type="dxa"/>
          <w:right w:w="30" w:type="dxa"/>
        </w:tblCellMar>
        <w:tblLook w:val="04A0" w:firstRow="1" w:lastRow="0" w:firstColumn="1" w:lastColumn="0" w:noHBand="0" w:noVBand="1"/>
      </w:tblPr>
      <w:tblGrid>
        <w:gridCol w:w="792"/>
        <w:gridCol w:w="726"/>
        <w:gridCol w:w="1007"/>
        <w:gridCol w:w="1119"/>
        <w:gridCol w:w="1282"/>
        <w:gridCol w:w="2382"/>
        <w:gridCol w:w="2036"/>
      </w:tblGrid>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Redni broj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Q(kW)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DN</w:t>
            </w:r>
            <w:r w:rsidRPr="002E06F3">
              <w:rPr>
                <w:rFonts w:ascii="Arial" w:eastAsia="Times New Roman" w:hAnsi="Arial" w:cs="Arial"/>
              </w:rPr>
              <w:br/>
              <w:t xml:space="preserve">priključka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Ø priključka</w:t>
            </w:r>
            <w:r w:rsidRPr="002E06F3">
              <w:rPr>
                <w:rFonts w:ascii="Arial" w:eastAsia="Times New Roman" w:hAnsi="Arial" w:cs="Arial"/>
              </w:rPr>
              <w:br/>
              <w:t xml:space="preserve">(mm)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DN predajne stanice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Kategorija toplovodnog priključka predajne stanice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Jedinični troškovi izgradnje priključka TP/30</w:t>
            </w:r>
            <w:r w:rsidRPr="002E06F3">
              <w:rPr>
                <w:rFonts w:ascii="Arial" w:eastAsia="Times New Roman" w:hAnsi="Arial" w:cs="Arial"/>
              </w:rPr>
              <w:br/>
              <w:t xml:space="preserve">(RSD/m`)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lastRenderedPageBreak/>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7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25(40)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48,3/110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25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59.511,80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70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32(40)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48,3/110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25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after="0" w:line="240" w:lineRule="auto"/>
              <w:rPr>
                <w:rFonts w:ascii="Arial" w:eastAsia="Times New Roman" w:hAnsi="Arial" w:cs="Arial"/>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59.511,80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40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48,3/110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32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59.511,80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150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60,3/125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32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63.540,51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200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60,3/125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40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63.540,51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250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60,3/125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40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after="0" w:line="240" w:lineRule="auto"/>
              <w:rPr>
                <w:rFonts w:ascii="Arial" w:eastAsia="Times New Roman" w:hAnsi="Arial" w:cs="Arial"/>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63.540,51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7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300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60,3/125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50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63.540,51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8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350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60,3/125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50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after="0" w:line="240" w:lineRule="auto"/>
              <w:rPr>
                <w:rFonts w:ascii="Arial" w:eastAsia="Times New Roman" w:hAnsi="Arial" w:cs="Arial"/>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63.540,51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9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400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65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76,1/140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69.905,47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450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65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76,1/140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65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7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69.905,47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11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65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76,1/140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65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after="0" w:line="240" w:lineRule="auto"/>
              <w:rPr>
                <w:rFonts w:ascii="Arial" w:eastAsia="Times New Roman" w:hAnsi="Arial" w:cs="Arial"/>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69.905,47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12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65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76,1/140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65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after="0" w:line="240" w:lineRule="auto"/>
              <w:rPr>
                <w:rFonts w:ascii="Arial" w:eastAsia="Times New Roman" w:hAnsi="Arial" w:cs="Arial"/>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69.905,47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13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700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80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88,9/160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80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8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77.504,83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14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800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80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88,9/160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80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after="0" w:line="240" w:lineRule="auto"/>
              <w:rPr>
                <w:rFonts w:ascii="Arial" w:eastAsia="Times New Roman" w:hAnsi="Arial" w:cs="Arial"/>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77.504,83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15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900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114,3/200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80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9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94.398,25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16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1000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114,3/200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100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94.398,25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17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1500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114,3/200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100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after="0" w:line="240" w:lineRule="auto"/>
              <w:rPr>
                <w:rFonts w:ascii="Arial" w:eastAsia="Times New Roman" w:hAnsi="Arial" w:cs="Arial"/>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94.398,25 </w:t>
            </w:r>
          </w:p>
        </w:tc>
      </w:tr>
    </w:tbl>
    <w:p w:rsidR="002E06F3" w:rsidRPr="002E06F3" w:rsidRDefault="002E06F3" w:rsidP="002E06F3">
      <w:pPr>
        <w:spacing w:before="240" w:after="240" w:line="240" w:lineRule="auto"/>
        <w:jc w:val="center"/>
        <w:rPr>
          <w:rFonts w:ascii="Arial" w:eastAsia="Times New Roman" w:hAnsi="Arial" w:cs="Arial"/>
          <w:b/>
          <w:bCs/>
          <w:sz w:val="24"/>
          <w:szCs w:val="24"/>
        </w:rPr>
      </w:pPr>
      <w:bookmarkStart w:id="8" w:name="str_9"/>
      <w:bookmarkEnd w:id="8"/>
      <w:r w:rsidRPr="002E06F3">
        <w:rPr>
          <w:rFonts w:ascii="Arial" w:eastAsia="Times New Roman" w:hAnsi="Arial" w:cs="Arial"/>
          <w:b/>
          <w:bCs/>
          <w:sz w:val="24"/>
          <w:szCs w:val="24"/>
        </w:rPr>
        <w:t xml:space="preserve">III.1.2 Troškovi izgradnje toplovodnog priključka (TP) </w:t>
      </w:r>
    </w:p>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t xml:space="preserve">Troškovi izgradnje priključka određuju se na osnovu normirane i uprosečene količine potrebne opreme, uređaja i materijala koje je neophodno ugraditi, uprosečenih troškova radova, troškova projektovanja, dokumentacije i potrebnih dozvola, troškova nabavke i ugradnje predajne stanice i izmenjivača toplote, kao i troškova stručnih i operativnih poslova koje je neophodno izvršiti radi priključenja objekta na sistem. Troškovi izgradnje priključka obračunavaju se prema sledećoj formuli: </w:t>
      </w:r>
    </w:p>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t xml:space="preserve">TP=TP1+TP2+TP3 </w:t>
      </w:r>
    </w:p>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t xml:space="preserve">TP1 - troškovi projektovanja, </w:t>
      </w:r>
    </w:p>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t xml:space="preserve">TP2 - troškovi nabavke opreme, uređaja i materijala i troškovi rada, </w:t>
      </w:r>
    </w:p>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t xml:space="preserve">TP3 - troškovi stručnih i operativnih poslova. </w:t>
      </w:r>
    </w:p>
    <w:p w:rsidR="002E06F3" w:rsidRPr="002E06F3" w:rsidRDefault="002E06F3" w:rsidP="002E06F3">
      <w:pPr>
        <w:spacing w:before="240" w:after="240" w:line="240" w:lineRule="auto"/>
        <w:jc w:val="center"/>
        <w:rPr>
          <w:rFonts w:ascii="Arial" w:eastAsia="Times New Roman" w:hAnsi="Arial" w:cs="Arial"/>
          <w:i/>
          <w:iCs/>
          <w:sz w:val="24"/>
          <w:szCs w:val="24"/>
        </w:rPr>
      </w:pPr>
      <w:r w:rsidRPr="002E06F3">
        <w:rPr>
          <w:rFonts w:ascii="Arial" w:eastAsia="Times New Roman" w:hAnsi="Arial" w:cs="Arial"/>
          <w:i/>
          <w:iCs/>
          <w:sz w:val="24"/>
          <w:szCs w:val="24"/>
        </w:rPr>
        <w:t xml:space="preserve">III.1.2.1 Troškovi projektovanja (TP1) </w:t>
      </w:r>
    </w:p>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t xml:space="preserve">Troškovi projektovanja, pribavljanja propisanih saglasnosti i odobrenja, odgovarajućih dozvola i izvođenje pripremnih radova, kao i troškova na ime propisanih taksi, naknada i obavljanje drugih neophodnih poslova obračunavaju se prema propisanom cenovniku usluga preduzeća i ustanova koja ih izdaju (saglasnosti, naknade, dozvole, takse i dr.) i prema troškovima rada lica angažovanih na izvršenju neophodnih poslova projektovanja i dr., koji se obračunavaju kao </w:t>
      </w:r>
      <w:r w:rsidRPr="002E06F3">
        <w:rPr>
          <w:rFonts w:ascii="Arial" w:eastAsia="Times New Roman" w:hAnsi="Arial" w:cs="Arial"/>
        </w:rPr>
        <w:lastRenderedPageBreak/>
        <w:t xml:space="preserve">proizvod utvrđene tržišne vrednosti radnog časa, prema normiranom stepenu i vrsti stručne spreme lica koja izvode poslove i normiranog broja radnih časova potrebnih za izvođenje tih poslova. </w:t>
      </w:r>
    </w:p>
    <w:p w:rsidR="002E06F3" w:rsidRPr="002E06F3" w:rsidRDefault="002E06F3" w:rsidP="002E06F3">
      <w:pPr>
        <w:spacing w:before="240" w:after="240" w:line="240" w:lineRule="auto"/>
        <w:jc w:val="center"/>
        <w:rPr>
          <w:rFonts w:ascii="Arial" w:eastAsia="Times New Roman" w:hAnsi="Arial" w:cs="Arial"/>
          <w:i/>
          <w:iCs/>
          <w:sz w:val="24"/>
          <w:szCs w:val="24"/>
        </w:rPr>
      </w:pPr>
      <w:r w:rsidRPr="002E06F3">
        <w:rPr>
          <w:rFonts w:ascii="Arial" w:eastAsia="Times New Roman" w:hAnsi="Arial" w:cs="Arial"/>
          <w:i/>
          <w:iCs/>
          <w:sz w:val="24"/>
          <w:szCs w:val="24"/>
        </w:rPr>
        <w:t xml:space="preserve">III.1.2.2 Troškovi nabavke opreme, uređaja i materijala i troškovi rada (TP2) </w:t>
      </w:r>
    </w:p>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t xml:space="preserve">Troškovi opreme uređaja i materijala se obračunavaju kao proizvod utvrđene tržišne vrednosti i normirane količine opreme, uređaja i materijala koji se ugrađuju u skladu sa tehničkim propisima i pravilima rada sistema na koji se objekat priključuje. </w:t>
      </w:r>
    </w:p>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t xml:space="preserve">Troškovi radova obuhvataju troškove rada lica, troškove upotrebe mašina, alata, opreme i troškove upotrebe vozila. </w:t>
      </w:r>
    </w:p>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t xml:space="preserve">Troškovi nabavke opreme, uređaja i materijala i troškovi rada obračunavaju se prema sledećoj formuli: TP2=TP2a+TP2b </w:t>
      </w:r>
    </w:p>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t xml:space="preserve">TP2a - troškovi mašinske opreme, materijala i radova za izradu priključka, </w:t>
      </w:r>
    </w:p>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t xml:space="preserve">TP2b - troškovi građevinskog materijala i radova za izradu priključka. </w:t>
      </w:r>
    </w:p>
    <w:p w:rsidR="002E06F3" w:rsidRPr="002E06F3" w:rsidRDefault="002E06F3" w:rsidP="002E06F3">
      <w:pPr>
        <w:spacing w:before="240" w:after="240" w:line="240" w:lineRule="auto"/>
        <w:jc w:val="center"/>
        <w:rPr>
          <w:rFonts w:ascii="Arial" w:eastAsia="Times New Roman" w:hAnsi="Arial" w:cs="Arial"/>
          <w:i/>
          <w:iCs/>
          <w:sz w:val="24"/>
          <w:szCs w:val="24"/>
        </w:rPr>
      </w:pPr>
      <w:r w:rsidRPr="002E06F3">
        <w:rPr>
          <w:rFonts w:ascii="Arial" w:eastAsia="Times New Roman" w:hAnsi="Arial" w:cs="Arial"/>
          <w:i/>
          <w:iCs/>
          <w:sz w:val="24"/>
          <w:szCs w:val="24"/>
        </w:rPr>
        <w:t xml:space="preserve">III.1.2.3 Troškovi stručnih i operativnih poslova (TP3) </w:t>
      </w:r>
    </w:p>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t xml:space="preserve">Troškove stručnih i operativnih poslova koje je neophodno izvršiti radi priključenja objekta na sistem čine troškovi rada obračunati kao proizvod normiranih troškova rada lica koja se angažuju na priključenju, po radnom času, prema normiranom stepenu i vrsti stručne spreme i normiranog broja radnih časova za obavljanje tih poslova. </w:t>
      </w:r>
    </w:p>
    <w:p w:rsidR="002E06F3" w:rsidRPr="002E06F3" w:rsidRDefault="002E06F3" w:rsidP="002E06F3">
      <w:pPr>
        <w:spacing w:before="240" w:after="240" w:line="240" w:lineRule="auto"/>
        <w:jc w:val="center"/>
        <w:rPr>
          <w:rFonts w:ascii="Arial" w:eastAsia="Times New Roman" w:hAnsi="Arial" w:cs="Arial"/>
          <w:b/>
          <w:bCs/>
          <w:sz w:val="24"/>
          <w:szCs w:val="24"/>
        </w:rPr>
      </w:pPr>
      <w:bookmarkStart w:id="9" w:name="str_10"/>
      <w:bookmarkEnd w:id="9"/>
      <w:r w:rsidRPr="002E06F3">
        <w:rPr>
          <w:rFonts w:ascii="Arial" w:eastAsia="Times New Roman" w:hAnsi="Arial" w:cs="Arial"/>
          <w:b/>
          <w:bCs/>
          <w:sz w:val="24"/>
          <w:szCs w:val="24"/>
        </w:rPr>
        <w:t xml:space="preserve">III.1.3 Troškovi nabavke i ugradnje predajnih stanica i eventualno izmenjivača toplote (TP4) </w:t>
      </w:r>
    </w:p>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t xml:space="preserve">Troškovi nabavke i ugradnje predajnih stanica obračunavaju se prema sledećoj formuli: </w:t>
      </w:r>
    </w:p>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t xml:space="preserve">TP4=TPG4+TPPTV4 </w:t>
      </w:r>
    </w:p>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t xml:space="preserve">TPG4 - troškovi nabavke i ugradnje predajne stanice za grejanje i eventualno izmenjivača toplote, </w:t>
      </w:r>
    </w:p>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t xml:space="preserve">TPPTV4 - troškovi nabavke i ugradnje predajne stanice za potrošnu toplu vodu. </w:t>
      </w:r>
    </w:p>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t xml:space="preserve">Za Tsp = -18°C: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30" w:type="dxa"/>
          <w:left w:w="30" w:type="dxa"/>
          <w:bottom w:w="30" w:type="dxa"/>
          <w:right w:w="30" w:type="dxa"/>
        </w:tblCellMar>
        <w:tblLook w:val="04A0" w:firstRow="1" w:lastRow="0" w:firstColumn="1" w:lastColumn="0" w:noHBand="0" w:noVBand="1"/>
      </w:tblPr>
      <w:tblGrid>
        <w:gridCol w:w="639"/>
        <w:gridCol w:w="698"/>
        <w:gridCol w:w="966"/>
        <w:gridCol w:w="1025"/>
        <w:gridCol w:w="909"/>
        <w:gridCol w:w="1236"/>
        <w:gridCol w:w="1364"/>
        <w:gridCol w:w="1318"/>
        <w:gridCol w:w="1189"/>
      </w:tblGrid>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Redni broj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Q(kW)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DN</w:t>
            </w:r>
            <w:r w:rsidRPr="002E06F3">
              <w:rPr>
                <w:rFonts w:ascii="Arial" w:eastAsia="Times New Roman" w:hAnsi="Arial" w:cs="Arial"/>
              </w:rPr>
              <w:br/>
              <w:t xml:space="preserve">priključka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Ø priključka</w:t>
            </w:r>
            <w:r w:rsidRPr="002E06F3">
              <w:rPr>
                <w:rFonts w:ascii="Arial" w:eastAsia="Times New Roman" w:hAnsi="Arial" w:cs="Arial"/>
              </w:rPr>
              <w:br/>
              <w:t xml:space="preserve">(mm)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DN predajne stanice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Kategorija toplovodnog priključka predajne stanice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Troškovi nabavke i ugradnje predajne stanice za grejanje sa izmenjivače</w:t>
            </w:r>
            <w:r w:rsidRPr="002E06F3">
              <w:rPr>
                <w:rFonts w:ascii="Arial" w:eastAsia="Times New Roman" w:hAnsi="Arial" w:cs="Arial"/>
              </w:rPr>
              <w:lastRenderedPageBreak/>
              <w:t>m toplote - TPG4a</w:t>
            </w:r>
            <w:r w:rsidRPr="002E06F3">
              <w:rPr>
                <w:rFonts w:ascii="Arial" w:eastAsia="Times New Roman" w:hAnsi="Arial" w:cs="Arial"/>
              </w:rPr>
              <w:br/>
              <w:t xml:space="preserve">(RSD/kom)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lastRenderedPageBreak/>
              <w:t xml:space="preserve">Troškovi nabavke i ugradnje predajne stanice za grejanje bez izmenjivača </w:t>
            </w:r>
            <w:r w:rsidRPr="002E06F3">
              <w:rPr>
                <w:rFonts w:ascii="Arial" w:eastAsia="Times New Roman" w:hAnsi="Arial" w:cs="Arial"/>
              </w:rPr>
              <w:lastRenderedPageBreak/>
              <w:t xml:space="preserve">toplote - TPG4b (RSD/kom)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lastRenderedPageBreak/>
              <w:t>Troškovi nabavke i ugradnje predajne stanice za PTV bez izmenjivač</w:t>
            </w:r>
            <w:r w:rsidRPr="002E06F3">
              <w:rPr>
                <w:rFonts w:ascii="Arial" w:eastAsia="Times New Roman" w:hAnsi="Arial" w:cs="Arial"/>
              </w:rPr>
              <w:lastRenderedPageBreak/>
              <w:t xml:space="preserve">a toplote - TPPTV4 (RSD/kom)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lastRenderedPageBreak/>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7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8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9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25(40)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48,3/110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25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582.371,14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582.371,14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70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25(40)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48,3/110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25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after="0" w:line="240" w:lineRule="auto"/>
              <w:rPr>
                <w:rFonts w:ascii="Arial" w:eastAsia="Times New Roman" w:hAnsi="Arial" w:cs="Arial"/>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582.371,14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582.371,14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32(40)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48,3/110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25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after="0" w:line="240" w:lineRule="auto"/>
              <w:rPr>
                <w:rFonts w:ascii="Arial" w:eastAsia="Times New Roman" w:hAnsi="Arial" w:cs="Arial"/>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582.371,14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582.371,14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150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40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48,3/110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32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604.634,54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604.634,54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200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60,3/125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32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604.634,54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604.634,54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250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60,3/125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40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646.500,22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646.500,22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7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300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60,3/125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40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after="0" w:line="240" w:lineRule="auto"/>
              <w:rPr>
                <w:rFonts w:ascii="Arial" w:eastAsia="Times New Roman" w:hAnsi="Arial" w:cs="Arial"/>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646.500,22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646.500,22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8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350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60,3/125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50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674.654,38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674.654,38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9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400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60,3/125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50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after="0" w:line="240" w:lineRule="auto"/>
              <w:rPr>
                <w:rFonts w:ascii="Arial" w:eastAsia="Times New Roman" w:hAnsi="Arial" w:cs="Arial"/>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674.654,38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674.654,38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450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60,3/125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50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after="0" w:line="240" w:lineRule="auto"/>
              <w:rPr>
                <w:rFonts w:ascii="Arial" w:eastAsia="Times New Roman" w:hAnsi="Arial" w:cs="Arial"/>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674.654,38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674.654,38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11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65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76,1/140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674.654,38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674.654,38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12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65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76,1/140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65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7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779.983,74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13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700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65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76,1/140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65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after="0" w:line="240" w:lineRule="auto"/>
              <w:rPr>
                <w:rFonts w:ascii="Arial" w:eastAsia="Times New Roman" w:hAnsi="Arial" w:cs="Arial"/>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779.983,74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14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800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65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76,1/140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65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after="0" w:line="240" w:lineRule="auto"/>
              <w:rPr>
                <w:rFonts w:ascii="Arial" w:eastAsia="Times New Roman" w:hAnsi="Arial" w:cs="Arial"/>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779.983,74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15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900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80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88,9/160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80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8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1.179.181,73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16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1000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80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88,9/160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80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after="0" w:line="240" w:lineRule="auto"/>
              <w:rPr>
                <w:rFonts w:ascii="Arial" w:eastAsia="Times New Roman" w:hAnsi="Arial" w:cs="Arial"/>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1.179.181,73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17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1500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114,3/200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9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1.467.214,90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  </w:t>
            </w:r>
          </w:p>
        </w:tc>
      </w:tr>
    </w:tbl>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t xml:space="preserve">Za Tsp = -12,1°C: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30" w:type="dxa"/>
          <w:left w:w="30" w:type="dxa"/>
          <w:bottom w:w="30" w:type="dxa"/>
          <w:right w:w="30" w:type="dxa"/>
        </w:tblCellMar>
        <w:tblLook w:val="04A0" w:firstRow="1" w:lastRow="0" w:firstColumn="1" w:lastColumn="0" w:noHBand="0" w:noVBand="1"/>
      </w:tblPr>
      <w:tblGrid>
        <w:gridCol w:w="639"/>
        <w:gridCol w:w="698"/>
        <w:gridCol w:w="966"/>
        <w:gridCol w:w="1025"/>
        <w:gridCol w:w="909"/>
        <w:gridCol w:w="1236"/>
        <w:gridCol w:w="1364"/>
        <w:gridCol w:w="1318"/>
        <w:gridCol w:w="1189"/>
      </w:tblGrid>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Redni broj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Q(kW)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DN</w:t>
            </w:r>
            <w:r w:rsidRPr="002E06F3">
              <w:rPr>
                <w:rFonts w:ascii="Arial" w:eastAsia="Times New Roman" w:hAnsi="Arial" w:cs="Arial"/>
              </w:rPr>
              <w:br/>
              <w:t xml:space="preserve">priključka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Ø priključka</w:t>
            </w:r>
            <w:r w:rsidRPr="002E06F3">
              <w:rPr>
                <w:rFonts w:ascii="Arial" w:eastAsia="Times New Roman" w:hAnsi="Arial" w:cs="Arial"/>
              </w:rPr>
              <w:br/>
              <w:t xml:space="preserve">(mm)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DN predajne stanice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Kategorija toplovodnog priključka predajne stanice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Troškovi nabavke i ugradnje predajne stanice za </w:t>
            </w:r>
            <w:r w:rsidRPr="002E06F3">
              <w:rPr>
                <w:rFonts w:ascii="Arial" w:eastAsia="Times New Roman" w:hAnsi="Arial" w:cs="Arial"/>
              </w:rPr>
              <w:lastRenderedPageBreak/>
              <w:t xml:space="preserve">grejanje sa izmenjivačem toplote - TPG4a (RSD/kom)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lastRenderedPageBreak/>
              <w:t xml:space="preserve">Troškovi nabavke i ugradnje predajne stanice za </w:t>
            </w:r>
            <w:r w:rsidRPr="002E06F3">
              <w:rPr>
                <w:rFonts w:ascii="Arial" w:eastAsia="Times New Roman" w:hAnsi="Arial" w:cs="Arial"/>
              </w:rPr>
              <w:lastRenderedPageBreak/>
              <w:t xml:space="preserve">grejanje bez izmenjivača toplote - TPG4b (RSD/kom)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lastRenderedPageBreak/>
              <w:t xml:space="preserve">Troškovi nabavke i ugradnje predajne stanice za </w:t>
            </w:r>
            <w:r w:rsidRPr="002E06F3">
              <w:rPr>
                <w:rFonts w:ascii="Arial" w:eastAsia="Times New Roman" w:hAnsi="Arial" w:cs="Arial"/>
              </w:rPr>
              <w:lastRenderedPageBreak/>
              <w:t xml:space="preserve">PTV bez izmenjivača toplote - TPPTV4 (RSD/kom)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lastRenderedPageBreak/>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7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8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9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25(40)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48,3/110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25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582.371,14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582.371,14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70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32(40)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48,3/110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25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after="0" w:line="240" w:lineRule="auto"/>
              <w:rPr>
                <w:rFonts w:ascii="Arial" w:eastAsia="Times New Roman" w:hAnsi="Arial" w:cs="Arial"/>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582.371,14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582.371,14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40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48,3/110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32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604.634,54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604.634,54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150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60,3/125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32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604.634,54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604.634,54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200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60,3/125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40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646.500,22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646.500,22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250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60,3/125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40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after="0" w:line="240" w:lineRule="auto"/>
              <w:rPr>
                <w:rFonts w:ascii="Arial" w:eastAsia="Times New Roman" w:hAnsi="Arial" w:cs="Arial"/>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646.500,22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646.500,22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7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300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60,3/125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50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674.654,38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674.654,38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8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350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60,3/125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50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after="0" w:line="240" w:lineRule="auto"/>
              <w:rPr>
                <w:rFonts w:ascii="Arial" w:eastAsia="Times New Roman" w:hAnsi="Arial" w:cs="Arial"/>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674.654,38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674.654,38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9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400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65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76,1/140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674.654,38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674.654,38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450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65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76,1/140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65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7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779.983,74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11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500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65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76,1/140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65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after="0" w:line="240" w:lineRule="auto"/>
              <w:rPr>
                <w:rFonts w:ascii="Arial" w:eastAsia="Times New Roman" w:hAnsi="Arial" w:cs="Arial"/>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779.983,74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12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65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76,1/140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65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after="0" w:line="240" w:lineRule="auto"/>
              <w:rPr>
                <w:rFonts w:ascii="Arial" w:eastAsia="Times New Roman" w:hAnsi="Arial" w:cs="Arial"/>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779.983,74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13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700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80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88,9/160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80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8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1.179.181,73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14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800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80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88,9/160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80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after="0" w:line="240" w:lineRule="auto"/>
              <w:rPr>
                <w:rFonts w:ascii="Arial" w:eastAsia="Times New Roman" w:hAnsi="Arial" w:cs="Arial"/>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1.179.181,73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15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900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114,3/200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80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9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1.179.181,73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16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1000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114,3/200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100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1.467.214,90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  </w:t>
            </w:r>
          </w:p>
        </w:tc>
      </w:tr>
      <w:tr w:rsidR="002E06F3" w:rsidRPr="002E06F3" w:rsidTr="002E06F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17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1500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114,3/200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100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after="0" w:line="240" w:lineRule="auto"/>
              <w:rPr>
                <w:rFonts w:ascii="Arial" w:eastAsia="Times New Roman" w:hAnsi="Arial" w:cs="Arial"/>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1.467.214,90 </w:t>
            </w:r>
          </w:p>
        </w:tc>
        <w:tc>
          <w:tcPr>
            <w:tcW w:w="0" w:type="auto"/>
            <w:tcBorders>
              <w:top w:val="outset" w:sz="6" w:space="0" w:color="auto"/>
              <w:left w:val="outset" w:sz="6" w:space="0" w:color="auto"/>
              <w:bottom w:val="outset" w:sz="6" w:space="0" w:color="auto"/>
              <w:right w:val="outset" w:sz="6" w:space="0" w:color="auto"/>
            </w:tcBorders>
            <w:vAlign w:val="center"/>
            <w:hideMark/>
          </w:tcPr>
          <w:p w:rsidR="002E06F3" w:rsidRPr="002E06F3" w:rsidRDefault="002E06F3" w:rsidP="002E06F3">
            <w:pPr>
              <w:spacing w:before="100" w:beforeAutospacing="1" w:after="100" w:afterAutospacing="1" w:line="240" w:lineRule="auto"/>
              <w:jc w:val="center"/>
              <w:rPr>
                <w:rFonts w:ascii="Arial" w:eastAsia="Times New Roman" w:hAnsi="Arial" w:cs="Arial"/>
              </w:rPr>
            </w:pPr>
            <w:r w:rsidRPr="002E06F3">
              <w:rPr>
                <w:rFonts w:ascii="Arial" w:eastAsia="Times New Roman" w:hAnsi="Arial" w:cs="Arial"/>
              </w:rPr>
              <w:t xml:space="preserve">  </w:t>
            </w:r>
          </w:p>
        </w:tc>
      </w:tr>
    </w:tbl>
    <w:p w:rsidR="002E06F3" w:rsidRPr="002E06F3" w:rsidRDefault="002E06F3" w:rsidP="002E06F3">
      <w:pPr>
        <w:spacing w:before="240" w:after="240" w:line="240" w:lineRule="auto"/>
        <w:jc w:val="center"/>
        <w:rPr>
          <w:rFonts w:ascii="Arial" w:eastAsia="Times New Roman" w:hAnsi="Arial" w:cs="Arial"/>
          <w:b/>
          <w:bCs/>
          <w:sz w:val="24"/>
          <w:szCs w:val="24"/>
        </w:rPr>
      </w:pPr>
      <w:bookmarkStart w:id="10" w:name="str_11"/>
      <w:bookmarkEnd w:id="10"/>
      <w:r w:rsidRPr="002E06F3">
        <w:rPr>
          <w:rFonts w:ascii="Arial" w:eastAsia="Times New Roman" w:hAnsi="Arial" w:cs="Arial"/>
          <w:b/>
          <w:bCs/>
          <w:sz w:val="24"/>
          <w:szCs w:val="24"/>
        </w:rPr>
        <w:t xml:space="preserve">III.1.4 Deo troškova sistema (DTS) </w:t>
      </w:r>
    </w:p>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t xml:space="preserve">Deo troškova sistema (DTS) </w:t>
      </w:r>
    </w:p>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t xml:space="preserve">Osnov za utvrđivanje dela troškova sistema nastalih kao preduslov za priključenje objekta na taj sistem predstavlja vrednost troškova izgradnje toplotnih izvora i toplovodne mreže. </w:t>
      </w:r>
    </w:p>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lastRenderedPageBreak/>
        <w:t xml:space="preserve">Deo troškova sistema nastalih kao preduslov za priključenje utvrđuje se kao obračunska veličina izražena kroz jedinični trošak din/W i obračunava se prema sledećoj formuli: </w:t>
      </w:r>
    </w:p>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t>grejanje</w:t>
      </w:r>
      <w:r w:rsidRPr="002E06F3">
        <w:rPr>
          <w:rFonts w:ascii="Arial" w:eastAsia="Times New Roman" w:hAnsi="Arial" w:cs="Arial"/>
        </w:rPr>
        <w:br/>
        <w:t>Za Tsp = -18°C:</w:t>
      </w:r>
      <w:r w:rsidRPr="002E06F3">
        <w:rPr>
          <w:rFonts w:ascii="Arial" w:eastAsia="Times New Roman" w:hAnsi="Arial" w:cs="Arial"/>
        </w:rPr>
        <w:br/>
        <w:t>DTS (din) = Q(W) * Cj (din/W)</w:t>
      </w:r>
      <w:r w:rsidRPr="002E06F3">
        <w:rPr>
          <w:rFonts w:ascii="Arial" w:eastAsia="Times New Roman" w:hAnsi="Arial" w:cs="Arial"/>
        </w:rPr>
        <w:br/>
        <w:t>Q(W) - angažovana snaga objekta,</w:t>
      </w:r>
      <w:r w:rsidRPr="002E06F3">
        <w:rPr>
          <w:rFonts w:ascii="Arial" w:eastAsia="Times New Roman" w:hAnsi="Arial" w:cs="Arial"/>
        </w:rPr>
        <w:br/>
        <w:t>Cj (din/W) - jedinična cena po 1W angažovane snage iznosi 25,52 din/W,</w:t>
      </w:r>
      <w:r w:rsidRPr="002E06F3">
        <w:rPr>
          <w:rFonts w:ascii="Arial" w:eastAsia="Times New Roman" w:hAnsi="Arial" w:cs="Arial"/>
        </w:rPr>
        <w:br/>
        <w:t>Cj (din/W) = Cj za izvor + Cj za distributivnu mrežu,</w:t>
      </w:r>
      <w:r w:rsidRPr="002E06F3">
        <w:rPr>
          <w:rFonts w:ascii="Arial" w:eastAsia="Times New Roman" w:hAnsi="Arial" w:cs="Arial"/>
        </w:rPr>
        <w:br/>
        <w:t>Cj za izvor iznosi 15,05 din/W,</w:t>
      </w:r>
      <w:r w:rsidRPr="002E06F3">
        <w:rPr>
          <w:rFonts w:ascii="Arial" w:eastAsia="Times New Roman" w:hAnsi="Arial" w:cs="Arial"/>
        </w:rPr>
        <w:br/>
        <w:t xml:space="preserve">Cj za distributivnu mrežu iznosi 10,47 din/W; </w:t>
      </w:r>
    </w:p>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t>grejanje</w:t>
      </w:r>
      <w:r w:rsidRPr="002E06F3">
        <w:rPr>
          <w:rFonts w:ascii="Arial" w:eastAsia="Times New Roman" w:hAnsi="Arial" w:cs="Arial"/>
        </w:rPr>
        <w:br/>
        <w:t>Za Tsp = -12,1°C:</w:t>
      </w:r>
      <w:r w:rsidRPr="002E06F3">
        <w:rPr>
          <w:rFonts w:ascii="Arial" w:eastAsia="Times New Roman" w:hAnsi="Arial" w:cs="Arial"/>
        </w:rPr>
        <w:br/>
        <w:t>DTS(din) = Q(W) * Cj (din/W)</w:t>
      </w:r>
      <w:r w:rsidRPr="002E06F3">
        <w:rPr>
          <w:rFonts w:ascii="Arial" w:eastAsia="Times New Roman" w:hAnsi="Arial" w:cs="Arial"/>
        </w:rPr>
        <w:br/>
        <w:t>Q(W) - angažovana snaga objekta,</w:t>
      </w:r>
      <w:r w:rsidRPr="002E06F3">
        <w:rPr>
          <w:rFonts w:ascii="Arial" w:eastAsia="Times New Roman" w:hAnsi="Arial" w:cs="Arial"/>
        </w:rPr>
        <w:br/>
        <w:t>Cj (din/W) - jedinična cena po 1W angažovane snage iznosi 33,50 din/W,</w:t>
      </w:r>
      <w:r w:rsidRPr="002E06F3">
        <w:rPr>
          <w:rFonts w:ascii="Arial" w:eastAsia="Times New Roman" w:hAnsi="Arial" w:cs="Arial"/>
        </w:rPr>
        <w:br/>
        <w:t>Cj (din/W) = Cj za izvor + Cj za distributivnu mrežu,</w:t>
      </w:r>
      <w:r w:rsidRPr="002E06F3">
        <w:rPr>
          <w:rFonts w:ascii="Arial" w:eastAsia="Times New Roman" w:hAnsi="Arial" w:cs="Arial"/>
        </w:rPr>
        <w:br/>
        <w:t>Cj za izvor iznosi 19,76 din/W,</w:t>
      </w:r>
      <w:r w:rsidRPr="002E06F3">
        <w:rPr>
          <w:rFonts w:ascii="Arial" w:eastAsia="Times New Roman" w:hAnsi="Arial" w:cs="Arial"/>
        </w:rPr>
        <w:br/>
        <w:t xml:space="preserve">Cj za distributivnu mrežu iznosi 13,74 din/W; </w:t>
      </w:r>
    </w:p>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t>PTV:</w:t>
      </w:r>
      <w:r w:rsidRPr="002E06F3">
        <w:rPr>
          <w:rFonts w:ascii="Arial" w:eastAsia="Times New Roman" w:hAnsi="Arial" w:cs="Arial"/>
        </w:rPr>
        <w:br/>
        <w:t xml:space="preserve">DTS (din) = Q(W) * Cj (din/W) </w:t>
      </w:r>
    </w:p>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t>Q(W) - angažovana snaga objekta,</w:t>
      </w:r>
      <w:r w:rsidRPr="002E06F3">
        <w:rPr>
          <w:rFonts w:ascii="Arial" w:eastAsia="Times New Roman" w:hAnsi="Arial" w:cs="Arial"/>
        </w:rPr>
        <w:br/>
        <w:t>Cj (din/W) = Cj za izvor + Cj za distributivnu mrežu,</w:t>
      </w:r>
    </w:p>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t>Cj za izvor iznosi 0 din/W,</w:t>
      </w:r>
      <w:r w:rsidRPr="002E06F3">
        <w:rPr>
          <w:rFonts w:ascii="Arial" w:eastAsia="Times New Roman" w:hAnsi="Arial" w:cs="Arial"/>
        </w:rPr>
        <w:br/>
        <w:t xml:space="preserve">Cj za distributivnu mrežu iznosi 0 din/W. </w:t>
      </w:r>
    </w:p>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t xml:space="preserve">Za priključenje postojećih objekata na svim grejnim područjima na kojima postoji višak kapaciteta u izgrađenim toplotnim izvorima i toplovodnoj mreži na koju je moguće priključiti objekat, može se odobriti popust na troškove priključenja tako što se iz strukture troškova priključka izuzimaju troškovi distributivne mreže koji ulaze u sastav DTS. </w:t>
      </w:r>
    </w:p>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t xml:space="preserve">Za objekte koji se priključuju gašenjem individualnih kotlarnica i postojeće objekte koji su sproveli mere energetske sanacije, odnosno koji su u postupku energetske sanacije na svim grejnim područjima na kojima postoji višak kapaciteta u izgrađenim toplotnim izvorima i toplovodnoj mreži na koju je moguće priključiti objekat, može se odobriti popust u visini dela troškova sistema (DTS). </w:t>
      </w:r>
    </w:p>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t xml:space="preserve">U slučaju da se priključuju instalacije za potrošnu toplu vodu, iz troškova priključenja izuzima se deo troškova sistema (DTS). </w:t>
      </w:r>
    </w:p>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t xml:space="preserve">Bliže uslove za odobravanje popusta utvrđuje odlukom Nadzorni odbor JKP "Beogradske elektrane". </w:t>
      </w:r>
    </w:p>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t xml:space="preserve">Porez na dodatu vrednost od 20% nije uračunat u iskazane cene i primenjuje se u skladu sa zakonskom regulativom. </w:t>
      </w:r>
    </w:p>
    <w:p w:rsidR="002E06F3" w:rsidRPr="002E06F3" w:rsidRDefault="002E06F3" w:rsidP="002E06F3">
      <w:pPr>
        <w:spacing w:after="0" w:line="240" w:lineRule="auto"/>
        <w:jc w:val="center"/>
        <w:rPr>
          <w:rFonts w:ascii="Arial" w:eastAsia="Times New Roman" w:hAnsi="Arial" w:cs="Arial"/>
          <w:sz w:val="31"/>
          <w:szCs w:val="31"/>
        </w:rPr>
      </w:pPr>
      <w:bookmarkStart w:id="11" w:name="str_12"/>
      <w:bookmarkEnd w:id="11"/>
      <w:r w:rsidRPr="002E06F3">
        <w:rPr>
          <w:rFonts w:ascii="Arial" w:eastAsia="Times New Roman" w:hAnsi="Arial" w:cs="Arial"/>
          <w:sz w:val="31"/>
          <w:szCs w:val="31"/>
        </w:rPr>
        <w:lastRenderedPageBreak/>
        <w:t xml:space="preserve">IV. PRELAZNE ODREDBE </w:t>
      </w:r>
    </w:p>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t xml:space="preserve">Visina troškova priključenja se utvrđuje jednom godišnje, s tim što se može korigovati u toku godine u slučaju rasta indeksa potrošačkih cena za više od 10%, prema objavljenom podatku organa nadležnog za poslove statistike, za period od donošenja akta o utvrđivanju visine troškova priključka do korigovanja tih troškova. </w:t>
      </w:r>
    </w:p>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t xml:space="preserve">Stupanjem na snagu ove odluke prestaje da važi Odluka o visini troškova priključka objavljena u "Službenom listu Grada Beograda", broj 98/21. </w:t>
      </w:r>
    </w:p>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t xml:space="preserve">Ugovori zaključeni sa investitorima pre stupanja na snagu ove odluke ostaju nepromenjeni do roka koji je određen kao rok priključenja objekta, nakon čega će se izvršiti korekcija troškova priključenja u skladu sa ovom odlukom. </w:t>
      </w:r>
    </w:p>
    <w:p w:rsidR="002E06F3" w:rsidRPr="002E06F3" w:rsidRDefault="002E06F3" w:rsidP="002E06F3">
      <w:pPr>
        <w:spacing w:before="100" w:beforeAutospacing="1" w:after="100" w:afterAutospacing="1" w:line="240" w:lineRule="auto"/>
        <w:rPr>
          <w:rFonts w:ascii="Arial" w:eastAsia="Times New Roman" w:hAnsi="Arial" w:cs="Arial"/>
        </w:rPr>
      </w:pPr>
      <w:r w:rsidRPr="002E06F3">
        <w:rPr>
          <w:rFonts w:ascii="Arial" w:eastAsia="Times New Roman" w:hAnsi="Arial" w:cs="Arial"/>
        </w:rPr>
        <w:t xml:space="preserve">Ova odluka, po dobijanju saglasnosti osnivača, objavljuje se u "Službenom listu Grada Beograda" i stupa na snagu osmog dana od dana objavljivanja, a primenjivaće se na ugovore koji će se zaključiti nakon stupanja na snagu iste. </w:t>
      </w:r>
    </w:p>
    <w:p w:rsidR="00A1023A" w:rsidRDefault="00A1023A">
      <w:bookmarkStart w:id="12" w:name="_GoBack"/>
      <w:bookmarkEnd w:id="12"/>
    </w:p>
    <w:sectPr w:rsidR="00A102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6F3"/>
    <w:rsid w:val="002E06F3"/>
    <w:rsid w:val="00A10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47C3C9-55E2-41BE-9522-A72296E14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4959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2217</Words>
  <Characters>12643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NIKCEVIC</dc:creator>
  <cp:keywords/>
  <dc:description/>
  <cp:lastModifiedBy>Maja NIKCEVIC</cp:lastModifiedBy>
  <cp:revision>2</cp:revision>
  <dcterms:created xsi:type="dcterms:W3CDTF">2026-08-21T11:41:00Z</dcterms:created>
  <dcterms:modified xsi:type="dcterms:W3CDTF">2026-08-21T11:42:00Z</dcterms:modified>
</cp:coreProperties>
</file>